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Точка по франшизе и новый порог НДС: что перечитать в договоре бухгалтеру</w:t>
      </w:r>
    </w:p>
    <w:p>
      <w:r>
        <w:rPr>
          <w:b w:val="0"/>
        </w:rPr>
        <w:t>Упрощенец теряет освобождение от НДС с оборота в 20 млн рублей за год - втрое раньше, чем годом раньше, когда планка стояла на 60 млн. Эта планка продержится до 2028 года включительно, в 2029-м опустится до 15 млн, с 2030-го до 10 млн (закон от 4 июля 2026 года № 228-ФЗ).</w:t>
      </w:r>
    </w:p>
    <w:p>
      <w:r>
        <w:rPr>
          <w:b w:val="0"/>
        </w:rPr>
        <w:t>Двадцать миллионов в год - это 1,67 млн рублей выручки в месяц. Для точки общепита, розницы или услуг в городе-миллионнике это не выдающийся результат, а рабочий. То есть значительная часть франчайзи, которые год назад считали НДС чужой темой, в 2026 году оказываются плательщиками.</w:t>
      </w:r>
    </w:p>
    <w:p>
      <w:r>
        <w:rPr>
          <w:b w:val="0"/>
        </w:rPr>
        <w:t>Дальше не про то, как считать налог - это ваша работа с конкретными цифрами. Дальше про то, какие места договора коммерческой концессии перестали быть безобидными и что в них стоит перечитать до того, как порог будет пройден.</w:t>
      </w:r>
    </w:p>
    <w:p>
      <w:pPr>
        <w:pStyle w:val="Heading2"/>
      </w:pPr>
      <w:r>
        <w:t>Почему франчайзи проходит порог чаще, чем кажется</w:t>
      </w:r>
    </w:p>
    <w:p>
      <w:r>
        <w:rPr>
          <w:b w:val="0"/>
        </w:rPr>
        <w:t>Мы разобрали 201 карточку живого каталога франшиз (замер 15 сентября 2026 года). Медианный обещанный срок окупаемости - 10 месяцев, медианная обещанная доходность на вложенный капитал - 120% годовых.</w:t>
      </w:r>
    </w:p>
    <w:p>
      <w:r>
        <w:rPr>
          <w:b w:val="0"/>
        </w:rPr>
        <w:t>Эти числа взяты из рекламных карточек и остаются обещаниями. Но они показывают, какую выручку продавец подразумевает: точка, которая по замыслу возвращает вложения за десять месяцев, работает с оборотами, где порог в 20 млн проходится за год без всякого рывка.</w:t>
      </w:r>
    </w:p>
    <w:p>
      <w:r>
        <w:rPr>
          <w:b w:val="0"/>
        </w:rPr>
        <w:t>Отсюда практический вывод для бухгалтера сети или отдельной точки: переход на НДС по такой модели не исключение, а плановое событие, и подготовку к нему лучше начинать до, а не после.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324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udit-it-03-poro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2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6060"/>
          <w:sz w:val="18"/>
        </w:rPr>
        <w:t>Порог, с которого упрощенец платит НДС: 60 млн до 2026 года, 20 млн в 2026-2028 годах, 15 млн в 2029, 10 млн с 2030</w:t>
      </w:r>
    </w:p>
    <w:p>
      <w:pPr>
        <w:pStyle w:val="Heading2"/>
      </w:pPr>
      <w:r>
        <w:t>Место первое: база роялти</w:t>
      </w:r>
    </w:p>
    <w:p>
      <w:r>
        <w:rPr>
          <w:b w:val="0"/>
        </w:rPr>
        <w:t>Формы вознаграждения правообладателя перечислены в статье 1030 Гражданского кодекса, и список там открытый: разовый платёж, периодические, процент с оборота, наценка при поставке. В договорах, которые мы разбирали, почти всегда стоит процент.</w:t>
      </w:r>
    </w:p>
    <w:p>
      <w:r>
        <w:rPr>
          <w:b w:val="0"/>
        </w:rPr>
        <w:t xml:space="preserve">Вопрос, который до 2026 года почти не возникал: </w:t>
      </w:r>
      <w:r>
        <w:rPr>
          <w:b/>
        </w:rPr>
        <w:t>от какой выручки</w:t>
      </w:r>
      <w:r>
        <w:rPr>
          <w:b w:val="0"/>
        </w:rPr>
        <w:t>. Пока франчайзи не платил НДС, разницы не было. Теперь она появляется: выручка с НДС и выручка без НДС - это разные суммы, а роялти считается процентом от одной из них.</w:t>
      </w:r>
    </w:p>
    <w:p>
      <w:r>
        <w:rPr>
          <w:b w:val="0"/>
        </w:rPr>
        <w:t>Что искать в договоре: определение базы. Формулировки вида «от валовой выручки», «от товарооборота», «от суммы продаж» сами по себе неоднозначны. Если определения нет, вопрос решается перепиской с правообладателем, и лучше это сделать письменно и заранее.</w:t>
      </w:r>
    </w:p>
    <w:p>
      <w:pPr>
        <w:pStyle w:val="Heading2"/>
      </w:pPr>
      <w:r>
        <w:t>Место второе: цена в договоре, с НДС или без</w:t>
      </w:r>
    </w:p>
    <w:p>
      <w:r>
        <w:rPr>
          <w:b w:val="0"/>
        </w:rPr>
        <w:t>Второй вопрос зеркальный: как в договоре указано вознаграждение правообладателя. Если написано «10 000 рублей в месяц» без оговорки, стороны рано или поздно спорят о том, входит ли налог в эту сумму.</w:t>
      </w:r>
    </w:p>
    <w:p>
      <w:r>
        <w:rPr>
          <w:b w:val="0"/>
        </w:rPr>
        <w:t>Смотреть стоит на три формулировки:</w:t>
      </w:r>
    </w:p>
    <w:p>
      <w:pPr>
        <w:pStyle w:val="ListBullet"/>
      </w:pPr>
      <w:r>
        <w:rPr>
          <w:b w:val="0"/>
        </w:rPr>
        <w:t>сумма указана «с учётом НДС» - тогда при смене режима сторон меняется распределение, но не итог;</w:t>
      </w:r>
    </w:p>
    <w:p>
      <w:pPr>
        <w:pStyle w:val="ListBullet"/>
      </w:pPr>
      <w:r>
        <w:rPr>
          <w:b w:val="0"/>
        </w:rPr>
        <w:t>сумма указана «без учёта НДС» или «НДС не облагается» - вторая пометка особенно интересна, если правообладатель сам перейдёт на НДС;</w:t>
      </w:r>
    </w:p>
    <w:p>
      <w:pPr>
        <w:pStyle w:val="ListBullet"/>
      </w:pPr>
      <w:r>
        <w:rPr>
          <w:b w:val="0"/>
        </w:rPr>
        <w:t>оговорки нет вовсе - самый частый и самый спорный случай.</w:t>
      </w:r>
    </w:p>
    <w:p>
      <w:r>
        <w:rPr>
          <w:b w:val="0"/>
        </w:rPr>
        <w:t>Отдельно посмотрите, есть ли в договоре механизм пересмотра цены при изменении налогового режима любой из сторон. Обычно его нет.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324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udit-it-03-mesta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2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6060"/>
          <w:sz w:val="18"/>
        </w:rPr>
        <w:t>Три места договора: база роялти, цена с НДС или без, кто несёт налог при смене режима</w:t>
      </w:r>
    </w:p>
    <w:p>
      <w:pPr>
        <w:pStyle w:val="Heading2"/>
      </w:pPr>
      <w:r>
        <w:t>Место третье: паушальный взнос</w:t>
      </w:r>
    </w:p>
    <w:p>
      <w:r>
        <w:rPr>
          <w:b w:val="0"/>
        </w:rPr>
        <w:t>Разовый платёж за вход в сеть учитывается у франчайзи как расход будущих периодов и списывается в течение срока договора. Если правообладатель становится плательщиком НДС, а взнос ещё не самортизирован, стоит проверить, как оформлены первичные документы и что написано в счёте.</w:t>
      </w:r>
    </w:p>
    <w:p>
      <w:r>
        <w:rPr>
          <w:b w:val="0"/>
        </w:rPr>
        <w:t>Заодно - момент, о котором мы писали в прошлом материале: если договор прекращается досрочно, судьба несписанного остатка зависит от формулировок о возврате. Для целей НДС это тоже имеет значение.</w:t>
      </w:r>
    </w:p>
    <w:p>
      <w:pPr>
        <w:pStyle w:val="Heading2"/>
      </w:pPr>
      <w:r>
        <w:t>Что стоит сделать до того, как порог пройден</w:t>
      </w:r>
    </w:p>
    <w:p>
      <w:pPr>
        <w:pStyle w:val="ListNumber"/>
      </w:pPr>
      <w:r>
        <w:rPr>
          <w:b w:val="0"/>
        </w:rPr>
        <w:t>Посчитать, в каком месяце по текущей динамике выручка дойдёт до 20 млн нарастающим итогом.</w:t>
      </w:r>
    </w:p>
    <w:p>
      <w:pPr>
        <w:pStyle w:val="ListNumber"/>
      </w:pPr>
      <w:r>
        <w:rPr>
          <w:b w:val="0"/>
        </w:rPr>
        <w:t>Найти в договоре определение базы роялти и зафиксировать толкование письмом правообладателю.</w:t>
      </w:r>
    </w:p>
    <w:p>
      <w:pPr>
        <w:pStyle w:val="ListNumber"/>
      </w:pPr>
      <w:r>
        <w:rPr>
          <w:b w:val="0"/>
        </w:rPr>
        <w:t>Проверить, есть ли в договоре оговорка про НДС в цене и механизм пересмотра при смене режима.</w:t>
      </w:r>
    </w:p>
    <w:p>
      <w:pPr>
        <w:pStyle w:val="ListNumber"/>
      </w:pPr>
      <w:r>
        <w:rPr>
          <w:b w:val="0"/>
        </w:rPr>
        <w:t>Уточнить у правообладателя, на каком режиме работает он сам и меняется ли что-то в документах после перехода франчайзи на НДС.</w:t>
      </w:r>
    </w:p>
    <w:p>
      <w:pPr>
        <w:pStyle w:val="ListNumber"/>
      </w:pPr>
      <w:r>
        <w:rPr>
          <w:b w:val="0"/>
        </w:rPr>
        <w:t>Заложить в модель точки изменение денежного потока: налог платится раньше, чем приходят деньги от части покупателей.</w:t>
      </w:r>
    </w:p>
    <w:p>
      <w:pPr>
        <w:pStyle w:val="Heading2"/>
      </w:pPr>
      <w:r>
        <w:t>Что в этом разборе не учтено</w:t>
      </w:r>
    </w:p>
    <w:p>
      <w:r>
        <w:rPr>
          <w:b w:val="0"/>
        </w:rPr>
        <w:t>Мы не даём рекомендаций по выбору ставки и порядку расчёта: это решается с конкретными цифрами и учётной политикой.</w:t>
      </w:r>
    </w:p>
    <w:p>
      <w:r>
        <w:rPr>
          <w:b w:val="0"/>
        </w:rPr>
        <w:t>Цифры про каталог относятся к выборке из 201 карточки, снятой 15 сентября 2026 года, и описывают рекламные обещания продавцов, а не фактические показатели точек. Нормы приводятся по состоянию на 6 октября 2026 года.</w:t>
      </w:r>
    </w:p>
    <w:p>
      <w:r>
        <w:rPr>
          <w:b w:val="0"/>
        </w:rPr>
        <w:t>Разбор носит справочный характер и не заменяет консультацию по вашему договору и вашей ситуации.</w:t>
      </w:r>
    </w:p>
    <w:p>
      <w:r>
        <w:rPr>
          <w:b w:val="0"/>
        </w:rPr>
        <w:t xml:space="preserve">Дмитрий Франтлас, портал </w:t>
      </w:r>
      <w:hyperlink r:id="rId11">
        <w:r>
          <w:rPr>
            <w:rStyle w:val="Hyperlink"/>
          </w:rPr>
          <w:t xml:space="preserve">ФРАНТЛАС</w:t>
        </w:r>
      </w:hyperlink>
      <w:r>
        <w:rPr>
          <w:b w:val="0"/>
        </w:rPr>
        <w:t>: разбираем договоры франшиз и открытые данные, все цифры из собственных замеров.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hyperlink" Target="https://frantlas.ru/statya/dogovor-franshiz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