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Концессионное соглашение и договор франшизы: одно слово, две разные строки в учёте роялти</w:t>
      </w:r>
    </w:p>
    <w:p>
      <w:r>
        <w:rPr>
          <w:b w:val="0"/>
        </w:rPr>
        <w:t>В названиях двух договоров стоит слово «концессия», а общего у них, кроме корня, почти ничего. Концессионное соглашение - договор частной компании с публичной стороной, его правила задаёт закон от 21 июля 2005 года № 115-ФЗ. Договор коммерческой концессии подписывают два предпринимателя по главе 54 Гражданского кодекса, и именно он стоит за большинством франшиз. Ниже - чем различаются эти договоры, где их путают на практике, что путаница меняет в учёте роялти у франчайзи на общей системе и на упрощёнке, и сколько роялти берут на рынке по двум нашим замерам.</w:t>
      </w:r>
    </w:p>
    <w:p>
      <w:pPr>
        <w:pStyle w:val="Heading2"/>
      </w:pPr>
      <w:r>
        <w:t>Два договора с одним корнем</w:t>
      </w:r>
    </w:p>
    <w:p>
      <w:r>
        <w:rPr>
          <w:b/>
        </w:rPr>
        <w:t>Концессионное соглашение.</w:t>
      </w:r>
      <w:r>
        <w:rPr>
          <w:b w:val="0"/>
        </w:rPr>
        <w:t xml:space="preserve"> По статье 3 закона № 115-ФЗ концессионер за свой счёт создаёт или реконструирует имущество, которое принадлежит или будет принадлежать концеденту, а потом ведёт на нём деятельность. Концедент - публичная сторона: Российская Федерация, регион, муниципалитет. Объекты закон перечисляет сам: дороги, тепло- и водоснабжение, больницы, школы, спортивные сооружения. Платёж, который концессионер вносит за пользование объектом, называется концессионной платой (статья 7).</w:t>
      </w:r>
    </w:p>
    <w:p>
      <w:r>
        <w:rPr>
          <w:b/>
        </w:rPr>
        <w:t>Договор коммерческой концессии.</w:t>
      </w:r>
      <w:r>
        <w:rPr>
          <w:b w:val="0"/>
        </w:rPr>
        <w:t xml:space="preserve"> По статье 1027 ГК правообладатель за плату разрешает пользователю работать с набором своих исключительных прав, и в этом наборе непременно есть товарный знак или знак обслуживания. Сторонами могут быть только коммерческие организации и ИП. Форму платы статья 1030 оставляет сторонам: разовая сумма, регулярные платежи, процент с выручки, надбавка к цене товара, который правообладатель поставляет на перепродажу, или любой свой вариант. Периодические отчисления в обиходе зовут роялти, хотя в Гражданском кодексе этого слова нет.</w:t>
      </w:r>
    </w:p>
    <w:p>
      <w:r>
        <w:rPr>
          <w:b w:val="0"/>
        </w:rPr>
        <w:t>Одно соглашение про стройку и эксплуатацию публичного имущества, другое про право работать под чужой маркой. Смешать их в договоре франшизы можно только словами. Но слова потом переходят в акты, назначения платежей и налоговые регистры.</w:t>
      </w:r>
    </w:p>
    <w:p>
      <w:pPr>
        <w:pStyle w:val="Heading2"/>
      </w:pPr>
      <w:r>
        <w:t>Как договор называют сами франчайзеры</w:t>
      </w:r>
    </w:p>
    <w:p>
      <w:r>
        <w:rPr>
          <w:b w:val="0"/>
        </w:rPr>
        <w:t>Мы просмотрели 94 посадочные страницы франчайзеров из поисковой выдачи (снимки страниц 22 сентября 2026 года). Вид договора назван на 20 из них:</w:t>
      </w:r>
    </w:p>
    <w:p>
      <w:pPr>
        <w:pStyle w:val="ListBullet"/>
      </w:pPr>
      <w:r>
        <w:rPr>
          <w:b w:val="0"/>
        </w:rPr>
        <w:t>12 пишут «договор коммерческой концессии»;</w:t>
      </w:r>
    </w:p>
    <w:p>
      <w:pPr>
        <w:pStyle w:val="ListBullet"/>
      </w:pPr>
      <w:r>
        <w:rPr>
          <w:b w:val="0"/>
        </w:rPr>
        <w:t>6 называют его договором франчайзинга или франшизы - такого вида договора в ГК нет, по содержанию это обычно та же глава 54 или смешанный договор;</w:t>
      </w:r>
    </w:p>
    <w:p>
      <w:pPr>
        <w:pStyle w:val="ListBullet"/>
      </w:pPr>
      <w:r>
        <w:rPr>
          <w:b w:val="0"/>
        </w:rPr>
        <w:t>1 сокращает до «договора концессии»;</w:t>
      </w:r>
    </w:p>
    <w:p>
      <w:pPr>
        <w:pStyle w:val="ListBullet"/>
      </w:pPr>
      <w:r>
        <w:rPr>
          <w:b w:val="0"/>
        </w:rPr>
        <w:t>1 рядом с верным названием обещает партнёрам «подписание концессионного договора», то есть термином из 115-ФЗ.</w:t>
      </w:r>
    </w:p>
    <w:p>
      <w:r>
        <w:rPr>
          <w:b w:val="0"/>
        </w:rPr>
        <w:t>Для рекламной страницы неточный термин - мелочь. В договоре и первичке он уже не мелочь: если в акте стоит «концессионная плата», а договор передаёт право на товарный знак, у проверяющего появляется вопрос, на каком основании и по какой норме учтён расход.</w:t>
      </w:r>
    </w:p>
    <w:p>
      <w:pPr>
        <w:pStyle w:val="Heading2"/>
      </w:pPr>
      <w:r>
        <w:t>Что меняется в учёте</w:t>
      </w:r>
    </w:p>
    <w:p>
      <w:r>
        <w:rPr>
          <w:b/>
        </w:rPr>
        <w:t>Налог на прибыль.</w:t>
      </w:r>
      <w:r>
        <w:rPr>
          <w:b w:val="0"/>
        </w:rPr>
        <w:t xml:space="preserve"> В пункте 1 статьи 264 НК у двух платежей разные подпункты. Концессионная плата - подпункт 10.1, рядом с арендными платежами. Регулярные платежи за право использовать интеллектуальную собственность и средства индивидуализации, то есть и товарный знак, - подпункт 37. Роялти франчайзи относится ко второму. Дату такого расхода при методе начисления на практике определяют по подпункту 3 пункта 7 статьи 272: дата расчётов по договору, дата документа, на основании которого идёт расчёт, или последнее число отчётного периода.</w:t>
      </w:r>
    </w:p>
    <w:p>
      <w:r>
        <w:rPr>
          <w:b/>
        </w:rPr>
        <w:t>Упрощёнка «доходы минус расходы».</w:t>
      </w:r>
      <w:r>
        <w:rPr>
          <w:b w:val="0"/>
        </w:rPr>
        <w:t xml:space="preserve"> Перечень расходов в пункте 1 статьи 346.16 закрытый. Роялти в нём есть: подпункт 32 говорит о текущих платежах за использование прав на интеллектуальную собственность и средства индивидуализации. Концессионной платы отдельной строкой в этом перечне нет. Расход признаётся после оплаты (пункт 2 статьи 346.17), и для условий об отсрочке роялти, о которых ниже, это существенно.</w:t>
      </w:r>
    </w:p>
    <w:p>
      <w:r>
        <w:rPr>
          <w:b/>
        </w:rPr>
        <w:t>НДС.</w:t>
      </w:r>
      <w:r>
        <w:rPr>
          <w:b w:val="0"/>
        </w:rPr>
        <w:t xml:space="preserve"> Для концессионного соглашения в НК есть отдельная статья 174.1: обязанности налогоплательщика по операциям с объектом соглашения возложены на концессионера. К франшизе она не относится. Роялти по договору коммерческой концессии облагается в общем порядке: освобождение подпункта 26 пункта 2 статьи 149 сейчас касается программ и баз данных из реестра российского ПО, а не товарного знака.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350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dit-it-05-dva-dogovor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50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Концессионное соглашение и договор коммерческой концессии: кто стороны, что передаётся, как называется платёж и какие нормы НК к нему применяются - подпункт 10.1 или 37 статьи 264, подпункт 32 статьи 346.16, статья 174.1</w:t>
      </w:r>
    </w:p>
    <w:p>
      <w:pPr>
        <w:pStyle w:val="Heading2"/>
      </w:pPr>
      <w:r>
        <w:t>Сколько роялти платят франчайзи: два замера</w:t>
      </w:r>
    </w:p>
    <w:p>
      <w:r>
        <w:rPr>
          <w:b w:val="0"/>
        </w:rPr>
        <w:t>Сначала размер. 16 сентября 2026 года мы прошли 201 карточку живого каталога франшиз. Строка о роялти нашлась в 106:</w:t>
      </w:r>
    </w:p>
    <w:p>
      <w:pPr>
        <w:pStyle w:val="ListBullet"/>
      </w:pPr>
      <w:r>
        <w:rPr>
          <w:b w:val="0"/>
        </w:rPr>
        <w:t>процент называют 69 карточек, середина ряда 5%, у 58 из них ставка от 3 до 7%, крайние значения 1 и 10%;</w:t>
      </w:r>
    </w:p>
    <w:p>
      <w:pPr>
        <w:pStyle w:val="ListBullet"/>
      </w:pPr>
      <w:r>
        <w:rPr>
          <w:b w:val="0"/>
        </w:rPr>
        <w:t>фиксированную сумму в месяц - 21, середина 12 000 рублей, разброс от 5 000 до 50 000;</w:t>
      </w:r>
    </w:p>
    <w:p>
      <w:pPr>
        <w:pStyle w:val="ListBullet"/>
      </w:pPr>
      <w:r>
        <w:rPr>
          <w:b w:val="0"/>
        </w:rPr>
        <w:t>15 пишут, что роялти не берут.</w:t>
      </w:r>
    </w:p>
    <w:p>
      <w:r>
        <w:rPr>
          <w:b w:val="0"/>
        </w:rPr>
        <w:t xml:space="preserve">Две середины сходятся на выручке 240 тысяч рублей в месяц: 5% от неё как раз 12 000. Ниже этой выручки медианный фикс тяжелее медианного процента, выше - легче. Это условная арифметика на двух медианах, а не оценка какой-либо сети. Что каждая форма значит для покупателя, мы разбирали на портале в статье </w:t>
      </w:r>
      <w:hyperlink r:id="rId10">
        <w:r>
          <w:rPr>
            <w:rStyle w:val="Hyperlink"/>
          </w:rPr>
          <w:t xml:space="preserve">о паушальном взносе и роялти</w:t>
        </w:r>
      </w:hyperlink>
      <w:r>
        <w:rPr>
          <w:b w:val="0"/>
        </w:rPr>
        <w:t>; здесь взгляд со стороны учёта.</w:t>
      </w:r>
    </w:p>
    <w:p>
      <w:r>
        <w:rPr>
          <w:b w:val="0"/>
        </w:rPr>
        <w:t>Для бухгалтера важнее второй замер: как условие записано. Из 94 посадочных страниц роялти упоминают 54, платный размер называют 37. У 16 из этих 37 ставка не постоянная, некоторые совмещают несколько приёмов:</w:t>
      </w:r>
    </w:p>
    <w:p>
      <w:pPr>
        <w:pStyle w:val="ListBullet"/>
      </w:pPr>
      <w:r>
        <w:rPr>
          <w:b w:val="0"/>
        </w:rPr>
        <w:t>15 меняют ставку во времени: «первый месяц 0%», «3,5% в первый год, 5% со второго», «с 10-го месяца», «отсрочка по выплатам»;</w:t>
      </w:r>
    </w:p>
    <w:p>
      <w:pPr>
        <w:pStyle w:val="ListBullet"/>
      </w:pPr>
      <w:r>
        <w:rPr>
          <w:b w:val="0"/>
        </w:rPr>
        <w:t>2 привязывают её к выручке: «нет роялти при выручке до 2 млн»;</w:t>
      </w:r>
    </w:p>
    <w:p>
      <w:pPr>
        <w:pStyle w:val="ListBullet"/>
      </w:pPr>
      <w:r>
        <w:rPr>
          <w:b w:val="0"/>
        </w:rPr>
        <w:t>3 ставят потолок или минимум: «5%, но не более 45 000», «10%, минимум 20 000».</w:t>
      </w:r>
    </w:p>
    <w:p>
      <w:r>
        <w:rPr>
          <w:b w:val="0"/>
        </w:rPr>
        <w:t>Процент называют 33 страницы, и 16 из них не говорят, от чего он считается. Про НДС рядом с роялти не пишет ни одна из 54. Всё это заявления продавцов на их страницах: подписанный договор может говорить другое.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307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udit-it-05-royalti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6060"/>
          <w:sz w:val="18"/>
        </w:rPr>
        <w:t>Сколько роялти берут по каталогу из 201 карточки: процент с серединой 5% у 69, фиксированная сумма с серединой 12 000 рублей у 21; на 94 лендингах у 16 из 37 названных условий ставка меняется по сроку, выручке или упирается в потолок</w:t>
      </w:r>
    </w:p>
    <w:p>
      <w:pPr>
        <w:pStyle w:val="Heading2"/>
      </w:pPr>
      <w:r>
        <w:t>Пять формулировок, от которых зависит учёт роялти</w:t>
      </w:r>
    </w:p>
    <w:p>
      <w:pPr>
        <w:pStyle w:val="ListNumber"/>
      </w:pPr>
      <w:r>
        <w:rPr>
          <w:b/>
        </w:rPr>
        <w:t>Каникулы и отсрочка - разные вещи.</w:t>
      </w:r>
      <w:r>
        <w:rPr>
          <w:b w:val="0"/>
        </w:rPr>
        <w:t xml:space="preserve"> «Первый месяц 0%» значит, что вознаграждения за этот месяц нет. «Отсрочка по выплатам» значит, что вознаграждение начислено, а платёж перенесён. На методе начисления во втором случае расход приходится на свой период, на упрощёнке - на месяц оплаты. Если в договоре «отсрочка», а стороны понимают её как каникулы, расход и долг разойдутся с документами.</w:t>
      </w:r>
    </w:p>
    <w:p>
      <w:pPr>
        <w:pStyle w:val="ListNumber"/>
      </w:pPr>
      <w:r>
        <w:rPr>
          <w:b/>
        </w:rPr>
        <w:t>Ставка по годам.</w:t>
      </w:r>
      <w:r>
        <w:rPr>
          <w:b w:val="0"/>
        </w:rPr>
        <w:t xml:space="preserve"> Условие «3,5% в первый год, 5% со второго» требует точки отсчёта: дата договора, дата регистрации предоставления права или день открытия точки. Это три разные даты, и между ними бывают месяцы.</w:t>
      </w:r>
    </w:p>
    <w:p>
      <w:pPr>
        <w:pStyle w:val="ListNumber"/>
      </w:pPr>
      <w:r>
        <w:rPr>
          <w:b/>
        </w:rPr>
        <w:t>Порог выручки.</w:t>
      </w:r>
      <w:r>
        <w:rPr>
          <w:b w:val="0"/>
        </w:rPr>
        <w:t xml:space="preserve"> «Нет роялти при выручке до 2 млн» - за какой период считается выручка, за месяц или нарастающим итогом, и что начисляется в месяце, где порог пройден.</w:t>
      </w:r>
    </w:p>
    <w:p>
      <w:pPr>
        <w:pStyle w:val="ListNumber"/>
      </w:pPr>
      <w:r>
        <w:rPr>
          <w:b/>
        </w:rPr>
        <w:t>Потолок и минимум.</w:t>
      </w:r>
      <w:r>
        <w:rPr>
          <w:b w:val="0"/>
        </w:rPr>
        <w:t xml:space="preserve"> Минимум в 20 000 рублей начисляется и при нулевой выручке, то есть расход возникает без продаж. Потолок означает пересчёт каждый месяц. В обоих случаях сумма в акте - результат расчёта, а не одна строка из договора.</w:t>
      </w:r>
    </w:p>
    <w:p>
      <w:pPr>
        <w:pStyle w:val="ListNumber"/>
      </w:pPr>
      <w:r>
        <w:rPr>
          <w:b/>
        </w:rPr>
        <w:t>База не названа.</w:t>
      </w:r>
      <w:r>
        <w:rPr>
          <w:b w:val="0"/>
        </w:rPr>
        <w:t xml:space="preserve"> «5% роялти» без слов «от выручки» и без уточнения, с НДС или без, оставляет место для спора. Особенно после того, как любая из сторон начнёт платить НДС.</w:t>
      </w:r>
    </w:p>
    <w:p>
      <w:pPr>
        <w:pStyle w:val="Heading2"/>
      </w:pPr>
      <w:r>
        <w:t>Что проверить в договоре до первого начисления</w:t>
      </w:r>
    </w:p>
    <w:p>
      <w:pPr>
        <w:pStyle w:val="ListBullet"/>
      </w:pPr>
      <w:r>
        <w:rPr>
          <w:b w:val="0"/>
        </w:rPr>
        <w:t>Название и стороны: «правообладатель» и «пользователь», ссылка на главу 54 ГК. Слова «концедент», «концессионер», «концессионная плата» в договоре франшизы стоит исправить до подписания.</w:t>
      </w:r>
    </w:p>
    <w:p>
      <w:pPr>
        <w:pStyle w:val="ListBullet"/>
      </w:pPr>
      <w:r>
        <w:rPr>
          <w:b w:val="0"/>
        </w:rPr>
        <w:t>Предмет: комплекс исключительных прав с товарным знаком, а не абстрактный «объект».</w:t>
      </w:r>
    </w:p>
    <w:p>
      <w:pPr>
        <w:pStyle w:val="ListBullet"/>
      </w:pPr>
      <w:r>
        <w:rPr>
          <w:b w:val="0"/>
        </w:rPr>
        <w:t>База вознаграждения, период расчёта и срок оплаты.</w:t>
      </w:r>
    </w:p>
    <w:p>
      <w:pPr>
        <w:pStyle w:val="ListBullet"/>
      </w:pPr>
      <w:r>
        <w:rPr>
          <w:b w:val="0"/>
        </w:rPr>
        <w:t>Таблица ставок по периодам и порогам с ясной датой начала отсчёта.</w:t>
      </w:r>
    </w:p>
    <w:p>
      <w:pPr>
        <w:pStyle w:val="ListBullet"/>
      </w:pPr>
      <w:r>
        <w:rPr>
          <w:b w:val="0"/>
        </w:rPr>
        <w:t>Документ-основание каждого месяца: отчёт пользователя о выручке и акт или УПД правообладателя с расчётом суммы.</w:t>
      </w:r>
    </w:p>
    <w:p>
      <w:pPr>
        <w:pStyle w:val="ListBullet"/>
      </w:pPr>
      <w:r>
        <w:rPr>
          <w:b w:val="0"/>
        </w:rPr>
        <w:t>Каникулы или отсрочка: каким словом это записано и что из него следует для начисления.</w:t>
      </w:r>
    </w:p>
    <w:p>
      <w:pPr>
        <w:pStyle w:val="Heading2"/>
      </w:pPr>
      <w:r>
        <w:t>Откуда числа и где их предел</w:t>
      </w:r>
    </w:p>
    <w:p>
      <w:r>
        <w:rPr>
          <w:b w:val="0"/>
        </w:rPr>
        <w:t>Обе выборки неслучайные: каталог одной площадки (201 карточка, 16.09.2026) и посадочные страницы из верхушки поисковой выдачи (94 страницы, снимки 22.09.2026). Числа описывают эти выборки, а не весь рынок франшиз. Ставки и суммы роялти - заявления продавцов, а не условия подписанных договоров и не показатели работы точек. Расчёт с 240 тысячами условный, доходность и окупаемость франшиз здесь не оцениваются, и ничто в тексте не обещает дохода.</w:t>
      </w:r>
    </w:p>
    <w:p>
      <w:r>
        <w:rPr>
          <w:b w:val="0"/>
        </w:rPr>
        <w:t>Нормы приведены по текстам на 12 октября 2026 года. Разбор справочный и не заменяет консультацию по вашему договору и вашей учётной политике.</w:t>
      </w:r>
    </w:p>
    <w:p>
      <w:r>
        <w:rPr>
          <w:b w:val="0"/>
        </w:rPr>
        <w:t>Дмитрий Франтлас, автор портала ФРАНТЛАС. Пишем о франшизах и малом бизнесе по договорам, реестрам и своим замерам.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frantlas.ru/statya/paushalnyy-vznos-i-royalti/" TargetMode="External"/><Relationship Id="rId1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